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C1" w:rsidRDefault="00F856C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856C1" w:rsidRDefault="00F856C1">
      <w:pPr>
        <w:pStyle w:val="ConsPlusNormal"/>
        <w:jc w:val="both"/>
        <w:outlineLvl w:val="0"/>
      </w:pPr>
    </w:p>
    <w:p w:rsidR="00F856C1" w:rsidRDefault="00F856C1">
      <w:pPr>
        <w:pStyle w:val="ConsPlusTitle"/>
        <w:jc w:val="center"/>
        <w:outlineLvl w:val="0"/>
      </w:pPr>
      <w:r>
        <w:t>СОВЕТ САБИНСКОГО МУНИЦИПАЛЬНОГО РАЙОНА РЕСПУБЛИКИ ТАТАРСТАН</w:t>
      </w:r>
    </w:p>
    <w:p w:rsidR="00F856C1" w:rsidRDefault="00F856C1">
      <w:pPr>
        <w:pStyle w:val="ConsPlusTitle"/>
        <w:jc w:val="center"/>
      </w:pPr>
    </w:p>
    <w:p w:rsidR="00F856C1" w:rsidRDefault="00F856C1">
      <w:pPr>
        <w:pStyle w:val="ConsPlusTitle"/>
        <w:jc w:val="center"/>
      </w:pPr>
      <w:r>
        <w:t>РЕШЕНИЕ</w:t>
      </w:r>
    </w:p>
    <w:p w:rsidR="00F856C1" w:rsidRDefault="00F856C1">
      <w:pPr>
        <w:pStyle w:val="ConsPlusTitle"/>
        <w:jc w:val="center"/>
      </w:pPr>
      <w:r>
        <w:t>от 7 ноября 2017 г. N 172</w:t>
      </w:r>
    </w:p>
    <w:p w:rsidR="00F856C1" w:rsidRDefault="00F856C1">
      <w:pPr>
        <w:pStyle w:val="ConsPlusTitle"/>
        <w:jc w:val="center"/>
      </w:pPr>
    </w:p>
    <w:p w:rsidR="00F856C1" w:rsidRDefault="00F856C1">
      <w:pPr>
        <w:pStyle w:val="ConsPlusTitle"/>
        <w:jc w:val="center"/>
      </w:pPr>
      <w:r>
        <w:t>О СИСТЕМЕ НАЛОГООБЛОЖЕНИЯ В ВИДЕ ЕДИНОГО НАЛОГА</w:t>
      </w:r>
    </w:p>
    <w:p w:rsidR="00F856C1" w:rsidRDefault="00F856C1">
      <w:pPr>
        <w:pStyle w:val="ConsPlusTitle"/>
        <w:jc w:val="center"/>
      </w:pPr>
      <w:r>
        <w:t>НА ВМЕНЕННЫЙ ДОХОД ДЛЯ ОТДЕЛЬНЫХ ВИДОВ ДЕЯТЕЛЬНОСТИ</w:t>
      </w:r>
    </w:p>
    <w:p w:rsidR="00F856C1" w:rsidRDefault="00F856C1">
      <w:pPr>
        <w:pStyle w:val="ConsPlusNormal"/>
        <w:jc w:val="both"/>
      </w:pPr>
    </w:p>
    <w:p w:rsidR="00F856C1" w:rsidRDefault="00F856C1">
      <w:pPr>
        <w:pStyle w:val="ConsPlusNormal"/>
        <w:ind w:firstLine="540"/>
        <w:jc w:val="both"/>
      </w:pPr>
      <w:r>
        <w:t xml:space="preserve">В соответствии с Налоговым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 Совет Сабинского муниципального района Республики Татарстан решил:</w:t>
      </w:r>
    </w:p>
    <w:p w:rsidR="00F856C1" w:rsidRDefault="00F856C1">
      <w:pPr>
        <w:pStyle w:val="ConsPlusNormal"/>
        <w:jc w:val="both"/>
      </w:pPr>
    </w:p>
    <w:p w:rsidR="00F856C1" w:rsidRDefault="00F856C1">
      <w:pPr>
        <w:pStyle w:val="ConsPlusNormal"/>
        <w:ind w:firstLine="540"/>
        <w:jc w:val="both"/>
      </w:pPr>
      <w:r>
        <w:t xml:space="preserve">1. Налогоплательщиками единого налога на вмененный доход для отдельных видов деятельности (далее - единый налог) являются организации и индивидуальные предприниматели, осуществляющие на территории муниципального образования "Сабинский муниципальный район" Республики Татарстан виды предпринимательской деятельности, предусмотренные </w:t>
      </w:r>
      <w:hyperlink w:anchor="P12" w:history="1">
        <w:r>
          <w:rPr>
            <w:color w:val="0000FF"/>
          </w:rPr>
          <w:t>пунктом 2</w:t>
        </w:r>
      </w:hyperlink>
      <w:r>
        <w:t xml:space="preserve"> настоящего решения.</w:t>
      </w:r>
    </w:p>
    <w:p w:rsidR="00F856C1" w:rsidRDefault="00F856C1">
      <w:pPr>
        <w:pStyle w:val="ConsPlusNormal"/>
        <w:spacing w:before="220"/>
        <w:ind w:firstLine="540"/>
        <w:jc w:val="both"/>
      </w:pPr>
      <w:bookmarkStart w:id="0" w:name="P12"/>
      <w:bookmarkEnd w:id="0"/>
      <w:r>
        <w:t>2. Единый налог применяется в отношении следующих видов предпринимательской деятельности:</w:t>
      </w:r>
    </w:p>
    <w:p w:rsidR="00F856C1" w:rsidRDefault="00F856C1">
      <w:pPr>
        <w:pStyle w:val="ConsPlusNormal"/>
        <w:spacing w:before="220"/>
        <w:ind w:firstLine="540"/>
        <w:jc w:val="both"/>
      </w:pPr>
      <w:r>
        <w:t xml:space="preserve">1) оказание бытовых услуг. Коды видов деятельности в соответствии с Общероссийским </w:t>
      </w:r>
      <w:hyperlink r:id="rId7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8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F856C1" w:rsidRDefault="00F856C1">
      <w:pPr>
        <w:pStyle w:val="ConsPlusNormal"/>
        <w:spacing w:before="220"/>
        <w:ind w:firstLine="540"/>
        <w:jc w:val="both"/>
      </w:pPr>
      <w:r>
        <w:t>2) оказание ветеринарных услуг;</w:t>
      </w:r>
    </w:p>
    <w:p w:rsidR="00F856C1" w:rsidRDefault="00F856C1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F856C1" w:rsidRDefault="00F856C1">
      <w:pPr>
        <w:pStyle w:val="ConsPlusNormal"/>
        <w:spacing w:before="220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F856C1" w:rsidRDefault="00F856C1">
      <w:pPr>
        <w:pStyle w:val="ConsPlusNormal"/>
        <w:spacing w:before="220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856C1" w:rsidRDefault="00F856C1">
      <w:pPr>
        <w:pStyle w:val="ConsPlusNormal"/>
        <w:spacing w:before="220"/>
        <w:ind w:firstLine="540"/>
        <w:jc w:val="both"/>
      </w:pPr>
      <w:r>
        <w:t xml:space="preserve"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F856C1" w:rsidRDefault="00F856C1">
      <w:pPr>
        <w:pStyle w:val="ConsPlusNormal"/>
        <w:spacing w:before="220"/>
        <w:ind w:firstLine="540"/>
        <w:jc w:val="both"/>
      </w:pPr>
      <w: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F856C1" w:rsidRDefault="00F856C1">
      <w:pPr>
        <w:pStyle w:val="ConsPlusNormal"/>
        <w:spacing w:before="220"/>
        <w:ind w:firstLine="540"/>
        <w:jc w:val="both"/>
      </w:pPr>
      <w:r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t xml:space="preserve">Для целей настоящей главы оказание услуг общественного питания, осуществляемых через объекты организации общественного питания площадью зала обслуживания посетителей более 150 квадратных метров </w:t>
      </w:r>
      <w:r>
        <w:lastRenderedPageBreak/>
        <w:t>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F856C1" w:rsidRDefault="00F856C1">
      <w:pPr>
        <w:pStyle w:val="ConsPlusNormal"/>
        <w:spacing w:before="220"/>
        <w:ind w:firstLine="540"/>
        <w:jc w:val="both"/>
      </w:pPr>
      <w: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856C1" w:rsidRDefault="00F856C1">
      <w:pPr>
        <w:pStyle w:val="ConsPlusNormal"/>
        <w:spacing w:before="220"/>
        <w:ind w:firstLine="540"/>
        <w:jc w:val="both"/>
      </w:pPr>
      <w:r>
        <w:t>10) распространение наружной рекламы с использованием рекламных конструкций;</w:t>
      </w:r>
    </w:p>
    <w:p w:rsidR="00F856C1" w:rsidRDefault="00F856C1">
      <w:pPr>
        <w:pStyle w:val="ConsPlusNormal"/>
        <w:spacing w:before="220"/>
        <w:ind w:firstLine="540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F856C1" w:rsidRDefault="00F856C1">
      <w:pPr>
        <w:pStyle w:val="ConsPlusNormal"/>
        <w:spacing w:before="220"/>
        <w:ind w:firstLine="540"/>
        <w:jc w:val="both"/>
      </w:pPr>
      <w: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856C1" w:rsidRDefault="00F856C1">
      <w:pPr>
        <w:pStyle w:val="ConsPlusNormal"/>
        <w:spacing w:before="220"/>
        <w:ind w:firstLine="540"/>
        <w:jc w:val="both"/>
      </w:pPr>
      <w: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856C1" w:rsidRDefault="00F856C1">
      <w:pPr>
        <w:pStyle w:val="ConsPlusNormal"/>
        <w:spacing w:before="220"/>
        <w:ind w:firstLine="540"/>
        <w:jc w:val="both"/>
      </w:pPr>
      <w: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856C1" w:rsidRDefault="00F856C1">
      <w:pPr>
        <w:pStyle w:val="ConsPlusNormal"/>
        <w:spacing w:before="220"/>
        <w:ind w:firstLine="540"/>
        <w:jc w:val="both"/>
      </w:pPr>
      <w:r>
        <w:t xml:space="preserve">3. В отношении видов предпринимательской деятельности, указанных в </w:t>
      </w:r>
      <w:hyperlink w:anchor="P12" w:history="1">
        <w:r>
          <w:rPr>
            <w:color w:val="0000FF"/>
          </w:rPr>
          <w:t>пункте 2</w:t>
        </w:r>
      </w:hyperlink>
      <w:r>
        <w:t xml:space="preserve"> настоящего решения, </w:t>
      </w:r>
      <w:hyperlink w:anchor="P45" w:history="1">
        <w:r>
          <w:rPr>
            <w:color w:val="0000FF"/>
          </w:rPr>
          <w:t>значение</w:t>
        </w:r>
      </w:hyperlink>
      <w:r>
        <w:t xml:space="preserve">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устанавливается согласно Приложению к настоящему решению.</w:t>
      </w:r>
    </w:p>
    <w:p w:rsidR="00F856C1" w:rsidRDefault="00F856C1">
      <w:pPr>
        <w:pStyle w:val="ConsPlusNormal"/>
        <w:spacing w:before="220"/>
        <w:ind w:firstLine="540"/>
        <w:jc w:val="both"/>
      </w:pPr>
      <w:r>
        <w:t>4. Настоящее решение вступает в силу с 1 января 2018 года, но не ранее чем по истечении одного месяца со дня его официального опубликования в районной газете "Саба таннары" и на официальном портале правовой информации Республики Татарстан в информационно-телекоммуникационной сети "Интернет" по адресу: http://pravo.tatarstan.ru.</w:t>
      </w:r>
    </w:p>
    <w:p w:rsidR="00F856C1" w:rsidRDefault="00F856C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Гасимова Р.М., Руководителя Исполнительного комитета Сабинского муниципального района.</w:t>
      </w:r>
    </w:p>
    <w:p w:rsidR="00F856C1" w:rsidRDefault="00F856C1">
      <w:pPr>
        <w:pStyle w:val="ConsPlusNormal"/>
        <w:jc w:val="both"/>
      </w:pPr>
    </w:p>
    <w:p w:rsidR="00F856C1" w:rsidRDefault="00F856C1">
      <w:pPr>
        <w:pStyle w:val="ConsPlusNormal"/>
        <w:jc w:val="right"/>
      </w:pPr>
      <w:r>
        <w:t>Глава Сабинского</w:t>
      </w:r>
    </w:p>
    <w:p w:rsidR="00F856C1" w:rsidRDefault="00F856C1">
      <w:pPr>
        <w:pStyle w:val="ConsPlusNormal"/>
        <w:jc w:val="right"/>
      </w:pPr>
      <w:r>
        <w:t>муниципального района</w:t>
      </w:r>
    </w:p>
    <w:p w:rsidR="00F856C1" w:rsidRDefault="00F856C1">
      <w:pPr>
        <w:pStyle w:val="ConsPlusNormal"/>
        <w:jc w:val="right"/>
      </w:pPr>
      <w:r>
        <w:t>Р.Н.МИННИХАНОВ</w:t>
      </w:r>
    </w:p>
    <w:p w:rsidR="00F856C1" w:rsidRDefault="00F856C1">
      <w:pPr>
        <w:pStyle w:val="ConsPlusNormal"/>
        <w:jc w:val="both"/>
      </w:pPr>
    </w:p>
    <w:p w:rsidR="00F856C1" w:rsidRDefault="00F856C1">
      <w:pPr>
        <w:pStyle w:val="ConsPlusNormal"/>
        <w:jc w:val="both"/>
      </w:pPr>
    </w:p>
    <w:p w:rsidR="00F856C1" w:rsidRDefault="00F856C1">
      <w:pPr>
        <w:pStyle w:val="ConsPlusNormal"/>
        <w:jc w:val="both"/>
      </w:pPr>
    </w:p>
    <w:p w:rsidR="00F856C1" w:rsidRDefault="00F856C1">
      <w:pPr>
        <w:pStyle w:val="ConsPlusNormal"/>
        <w:jc w:val="both"/>
      </w:pPr>
    </w:p>
    <w:p w:rsidR="00F856C1" w:rsidRDefault="00F856C1">
      <w:pPr>
        <w:pStyle w:val="ConsPlusNormal"/>
        <w:jc w:val="both"/>
      </w:pPr>
    </w:p>
    <w:p w:rsidR="00F856C1" w:rsidRDefault="00F856C1">
      <w:pPr>
        <w:pStyle w:val="ConsPlusNormal"/>
        <w:jc w:val="right"/>
        <w:outlineLvl w:val="0"/>
      </w:pPr>
      <w:r>
        <w:t>Приложение</w:t>
      </w:r>
    </w:p>
    <w:p w:rsidR="00F856C1" w:rsidRDefault="00F856C1">
      <w:pPr>
        <w:pStyle w:val="ConsPlusNormal"/>
        <w:jc w:val="right"/>
      </w:pPr>
      <w:r>
        <w:t>к решению Совета</w:t>
      </w:r>
    </w:p>
    <w:p w:rsidR="00F856C1" w:rsidRDefault="00F856C1">
      <w:pPr>
        <w:pStyle w:val="ConsPlusNormal"/>
        <w:jc w:val="right"/>
      </w:pPr>
      <w:r>
        <w:t>Сабинского муниципального района</w:t>
      </w:r>
    </w:p>
    <w:p w:rsidR="00F856C1" w:rsidRDefault="00F856C1">
      <w:pPr>
        <w:pStyle w:val="ConsPlusNormal"/>
        <w:jc w:val="right"/>
      </w:pPr>
      <w:r>
        <w:t>Республики Татарстан</w:t>
      </w:r>
    </w:p>
    <w:p w:rsidR="00F856C1" w:rsidRDefault="00F856C1">
      <w:pPr>
        <w:pStyle w:val="ConsPlusNormal"/>
        <w:jc w:val="right"/>
      </w:pPr>
      <w:r>
        <w:t>от 7 ноября 2017 г. N 172</w:t>
      </w:r>
    </w:p>
    <w:p w:rsidR="00F856C1" w:rsidRDefault="00F856C1">
      <w:pPr>
        <w:pStyle w:val="ConsPlusNormal"/>
        <w:jc w:val="both"/>
      </w:pPr>
    </w:p>
    <w:p w:rsidR="00F856C1" w:rsidRDefault="00F856C1">
      <w:pPr>
        <w:pStyle w:val="ConsPlusTitle"/>
        <w:jc w:val="center"/>
      </w:pPr>
      <w:bookmarkStart w:id="1" w:name="P45"/>
      <w:bookmarkEnd w:id="1"/>
      <w:r>
        <w:t>ЗНАЧЕНИЯ</w:t>
      </w:r>
    </w:p>
    <w:p w:rsidR="00F856C1" w:rsidRDefault="00F856C1">
      <w:pPr>
        <w:pStyle w:val="ConsPlusTitle"/>
        <w:jc w:val="center"/>
      </w:pPr>
      <w:r>
        <w:t>КОРРЕКТИРУЮЩЕГО КОЭФФИЦИЕНТА БАЗОВОЙ ДОХОДНОСТИ К</w:t>
      </w:r>
      <w:proofErr w:type="gramStart"/>
      <w:r>
        <w:t>2</w:t>
      </w:r>
      <w:proofErr w:type="gramEnd"/>
    </w:p>
    <w:p w:rsidR="00F856C1" w:rsidRDefault="00F856C1">
      <w:pPr>
        <w:pStyle w:val="ConsPlusTitle"/>
        <w:jc w:val="center"/>
      </w:pPr>
      <w:r>
        <w:t>В НАСЕЛЕННЫХ ПУНКТАХ С ЧИСЛЕННОСТЬЮ НАСЕЛЕНИЯ</w:t>
      </w:r>
    </w:p>
    <w:p w:rsidR="00F856C1" w:rsidRDefault="00F856C1">
      <w:pPr>
        <w:pStyle w:val="ConsPlusTitle"/>
        <w:jc w:val="center"/>
      </w:pPr>
      <w:r>
        <w:t>И В ЗАВИСИМОСТИ ОТ ВИДА ДЕЯТЕЛЬНОСТИ</w:t>
      </w:r>
    </w:p>
    <w:p w:rsidR="00F856C1" w:rsidRDefault="00F856C1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2608"/>
        <w:gridCol w:w="1191"/>
      </w:tblGrid>
      <w:tr w:rsidR="00F856C1"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>
            <w:pPr>
              <w:pStyle w:val="ConsPlusNormal"/>
              <w:jc w:val="center"/>
            </w:pPr>
            <w:r>
              <w:t>Численность населения (человек)/населенный пункт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</w:p>
        </w:tc>
      </w:tr>
      <w:tr w:rsidR="00F856C1"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- Оказание бытовых услуг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</w:pPr>
            <w:r>
              <w:t>до 100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0,01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101 до 300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301 до 500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0,3</w:t>
            </w:r>
          </w:p>
        </w:tc>
      </w:tr>
      <w:tr w:rsidR="00F856C1"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от 501 и свыше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  <w:jc w:val="center"/>
            </w:pPr>
            <w:r>
              <w:t>0,5</w:t>
            </w:r>
          </w:p>
        </w:tc>
      </w:tr>
      <w:tr w:rsidR="00F856C1"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- Оказание ветеринарных услуг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</w:pPr>
            <w:r>
              <w:t>до 100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0,01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101 до 300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301 до 500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0,3</w:t>
            </w:r>
          </w:p>
        </w:tc>
      </w:tr>
      <w:tr w:rsidR="00F856C1"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от 501 и свыше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  <w:jc w:val="center"/>
            </w:pPr>
            <w:r>
              <w:t>0,5</w:t>
            </w:r>
          </w:p>
        </w:tc>
      </w:tr>
      <w:tr w:rsidR="00F856C1"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-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</w:pPr>
            <w:r>
              <w:t>до 100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0,01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101 до 300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301 до 500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0,3</w:t>
            </w:r>
          </w:p>
        </w:tc>
      </w:tr>
      <w:tr w:rsidR="00F856C1"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от 501 и свыше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  <w:jc w:val="center"/>
            </w:pPr>
            <w:r>
              <w:t>0,5</w:t>
            </w:r>
          </w:p>
        </w:tc>
      </w:tr>
      <w:tr w:rsidR="00F856C1"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-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</w:pPr>
            <w:r>
              <w:t>до 100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0,01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101 до 300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301 до 500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0,3</w:t>
            </w:r>
          </w:p>
        </w:tc>
      </w:tr>
      <w:tr w:rsidR="00F856C1"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от 501 и свыше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  <w:jc w:val="center"/>
            </w:pPr>
            <w:r>
              <w:t>0,5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</w:pPr>
            <w:r>
              <w:t>-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</w:pP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на транспортных средствах вместимостью 8 и менее пассажирских мест;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0,5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на транспортных средствах вместимостью от 9 и более пассажирских мест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на транспортных средствах, предназначенных для перевозки грузов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  <w:jc w:val="center"/>
            </w:pPr>
            <w:r>
              <w:t>0,5</w:t>
            </w:r>
          </w:p>
        </w:tc>
      </w:tr>
      <w:tr w:rsidR="00F856C1"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 xml:space="preserve">- Розничная торговля, осуществляемая через </w:t>
            </w:r>
            <w:r>
              <w:lastRenderedPageBreak/>
              <w:t>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</w:pPr>
            <w:r>
              <w:lastRenderedPageBreak/>
              <w:t>до 100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0,005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101 до 300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0,03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301 до 500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501 и свыше (за исключением п.г.т. Богатые Сабы и с. Шемордан)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0,3</w:t>
            </w:r>
          </w:p>
        </w:tc>
      </w:tr>
      <w:tr w:rsidR="00F856C1"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п.г.т. Богатые Сабы и Шемордан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  <w:jc w:val="center"/>
            </w:pPr>
            <w:r>
              <w:t>0,5</w:t>
            </w:r>
          </w:p>
        </w:tc>
      </w:tr>
      <w:tr w:rsidR="00F856C1"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- 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</w:pPr>
            <w:r>
              <w:t>до 100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0,005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101 до 300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0,03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301 до 500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501 и свыше (за исключением п.г.т. Богатые Сабы и с. Шемордан)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0,3</w:t>
            </w:r>
          </w:p>
        </w:tc>
      </w:tr>
      <w:tr w:rsidR="00F856C1"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п.г.т. Богатые Сабы и Шемордан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  <w:jc w:val="center"/>
            </w:pPr>
            <w:r>
              <w:t>0,5</w:t>
            </w:r>
          </w:p>
        </w:tc>
      </w:tr>
      <w:tr w:rsidR="00F856C1"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-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</w:pPr>
            <w:r>
              <w:t>до 100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0,01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101 до 300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301 до 500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0,3</w:t>
            </w:r>
          </w:p>
        </w:tc>
      </w:tr>
      <w:tr w:rsidR="00F856C1"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от 501 и свыше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  <w:jc w:val="center"/>
            </w:pPr>
            <w:r>
              <w:t>0,5</w:t>
            </w:r>
          </w:p>
        </w:tc>
      </w:tr>
      <w:tr w:rsidR="00F856C1"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-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</w:pPr>
            <w:r>
              <w:t>до 100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0,01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101 до 300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301 до 500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0,3</w:t>
            </w:r>
          </w:p>
        </w:tc>
      </w:tr>
      <w:tr w:rsidR="00F856C1"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от 501 и свыше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  <w:jc w:val="center"/>
            </w:pPr>
            <w:r>
              <w:t>0,5</w:t>
            </w:r>
          </w:p>
        </w:tc>
      </w:tr>
      <w:tr w:rsidR="00F856C1"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- Распространение наружной рекламы с использованием рекламных конструкций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</w:pPr>
            <w:r>
              <w:t>до 100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0,01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101 до 300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301 до 500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0,3</w:t>
            </w:r>
          </w:p>
        </w:tc>
      </w:tr>
      <w:tr w:rsidR="00F856C1"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от 501 и свыше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  <w:jc w:val="center"/>
            </w:pPr>
            <w:r>
              <w:t>0,5</w:t>
            </w:r>
          </w:p>
        </w:tc>
      </w:tr>
      <w:tr w:rsidR="00F856C1"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-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</w:pPr>
            <w:r>
              <w:t>до 100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0,01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101 до 300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301 до 500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0,3</w:t>
            </w:r>
          </w:p>
        </w:tc>
      </w:tr>
      <w:tr w:rsidR="00F856C1"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от 501 и свыше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  <w:jc w:val="center"/>
            </w:pPr>
            <w:r>
              <w:t>0,5</w:t>
            </w:r>
          </w:p>
        </w:tc>
      </w:tr>
      <w:tr w:rsidR="00F856C1"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lastRenderedPageBreak/>
              <w:t>-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</w:pPr>
            <w:r>
              <w:t>до 100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0,01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101 до 300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301 до 500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0,3</w:t>
            </w:r>
          </w:p>
        </w:tc>
      </w:tr>
      <w:tr w:rsidR="00F856C1"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от 501 и свыше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  <w:jc w:val="center"/>
            </w:pPr>
            <w:r>
              <w:t>0,5</w:t>
            </w:r>
          </w:p>
        </w:tc>
      </w:tr>
      <w:tr w:rsidR="00F856C1"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-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</w:pPr>
            <w:r>
              <w:t>до 100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0,01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101 до 300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301 до 500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0,3</w:t>
            </w:r>
          </w:p>
        </w:tc>
      </w:tr>
      <w:tr w:rsidR="00F856C1"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от 501 и свыше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  <w:jc w:val="center"/>
            </w:pPr>
            <w:r>
              <w:t>0,5</w:t>
            </w:r>
          </w:p>
        </w:tc>
      </w:tr>
      <w:tr w:rsidR="00F856C1"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-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</w:pPr>
            <w:r>
              <w:t>до 100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0,01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101 до 300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0,1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</w:pPr>
            <w:r>
              <w:t>от 301 до 500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856C1" w:rsidRDefault="00F856C1">
            <w:pPr>
              <w:pStyle w:val="ConsPlusNormal"/>
              <w:jc w:val="center"/>
            </w:pPr>
            <w:r>
              <w:t>0,3</w:t>
            </w:r>
          </w:p>
        </w:tc>
      </w:tr>
      <w:tr w:rsidR="00F856C1">
        <w:tblPrEx>
          <w:tblBorders>
            <w:insideH w:val="none" w:sz="0" w:space="0" w:color="auto"/>
          </w:tblBorders>
        </w:tblPrEx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56C1" w:rsidRDefault="00F856C1"/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</w:pPr>
            <w:r>
              <w:t>от 501 и свыше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F856C1" w:rsidRDefault="00F856C1">
            <w:pPr>
              <w:pStyle w:val="ConsPlusNormal"/>
              <w:jc w:val="center"/>
            </w:pPr>
            <w:r>
              <w:t>0,5</w:t>
            </w:r>
          </w:p>
        </w:tc>
      </w:tr>
    </w:tbl>
    <w:p w:rsidR="00F856C1" w:rsidRDefault="00F856C1">
      <w:pPr>
        <w:pStyle w:val="ConsPlusNormal"/>
        <w:jc w:val="both"/>
      </w:pPr>
    </w:p>
    <w:p w:rsidR="00F856C1" w:rsidRDefault="00F856C1">
      <w:pPr>
        <w:pStyle w:val="ConsPlusNormal"/>
        <w:jc w:val="both"/>
      </w:pPr>
    </w:p>
    <w:p w:rsidR="00F856C1" w:rsidRDefault="00F856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0E95" w:rsidRDefault="00A40E95">
      <w:bookmarkStart w:id="2" w:name="_GoBack"/>
      <w:bookmarkEnd w:id="2"/>
    </w:p>
    <w:sectPr w:rsidR="00A40E95" w:rsidSect="00580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C1"/>
    <w:rsid w:val="00A40E95"/>
    <w:rsid w:val="00F8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5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56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5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56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102E52326CF8C3D1EDB6B1D588FB8E7D198B14DD426E0FD210CCAC940D460B2495F3E6A5301A22t4t5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102E52326CF8C3D1EDB6B1D588FB8E7D148010D1466E0FD210CCAC940D460B2495F3E6tAt5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102E52326CF8C3D1EDB6B1D588FB8E7E148214D1436E0FD210CCAC940D460B2495F3E6A5331D26t4t9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Акрамовна Шайхутдинова</dc:creator>
  <cp:lastModifiedBy>Рушания Акрамовна Шайхутдинова</cp:lastModifiedBy>
  <cp:revision>1</cp:revision>
  <dcterms:created xsi:type="dcterms:W3CDTF">2017-11-28T13:45:00Z</dcterms:created>
  <dcterms:modified xsi:type="dcterms:W3CDTF">2017-11-28T13:46:00Z</dcterms:modified>
</cp:coreProperties>
</file>